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AD068" w14:textId="00272933" w:rsidR="009171D0" w:rsidRPr="00A05A5E" w:rsidRDefault="008D2952" w:rsidP="00036EB5">
      <w:pPr>
        <w:pStyle w:val="BodyText"/>
        <w:spacing w:before="1"/>
        <w:rPr>
          <w:rFonts w:ascii="Calibri" w:hAnsi="Calibri" w:cs="Calibri"/>
          <w:sz w:val="24"/>
          <w:szCs w:val="24"/>
        </w:rPr>
      </w:pPr>
      <w:r w:rsidRPr="00531116">
        <w:rPr>
          <w:rFonts w:ascii="Calibri" w:hAnsi="Calibri" w:cs="Calibri"/>
          <w:noProof/>
        </w:rPr>
        <w:drawing>
          <wp:inline distT="0" distB="0" distL="0" distR="0" wp14:anchorId="79643548" wp14:editId="145D0E5C">
            <wp:extent cx="2501900" cy="381000"/>
            <wp:effectExtent l="0" t="0" r="0" b="0"/>
            <wp:docPr id="3" name="Picture 2" descr="\\nmshare.corp.nm.org\nmhomes\s\SEGRETIS\MyData\My Pictures\NM family long logo.png"/>
            <wp:cNvGraphicFramePr/>
            <a:graphic xmlns:a="http://schemas.openxmlformats.org/drawingml/2006/main">
              <a:graphicData uri="http://schemas.openxmlformats.org/drawingml/2006/picture">
                <pic:pic xmlns:pic="http://schemas.openxmlformats.org/drawingml/2006/picture">
                  <pic:nvPicPr>
                    <pic:cNvPr id="3" name="Picture 2" descr="\\nmshare.corp.nm.org\nmhomes\s\SEGRETIS\MyData\My Pictures\NM family long logo.pn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1900" cy="381000"/>
                    </a:xfrm>
                    <a:prstGeom prst="rect">
                      <a:avLst/>
                    </a:prstGeom>
                    <a:noFill/>
                    <a:ln>
                      <a:noFill/>
                    </a:ln>
                  </pic:spPr>
                </pic:pic>
              </a:graphicData>
            </a:graphic>
          </wp:inline>
        </w:drawing>
      </w:r>
    </w:p>
    <w:p w14:paraId="10C1EAFE" w14:textId="77777777" w:rsidR="00AE19AB" w:rsidRDefault="00AE19AB" w:rsidP="00A05A5E">
      <w:pPr>
        <w:rPr>
          <w:rFonts w:ascii="Calibri" w:hAnsi="Calibri" w:cs="Calibri"/>
          <w:b/>
          <w:bCs/>
          <w:sz w:val="24"/>
          <w:szCs w:val="24"/>
        </w:rPr>
      </w:pPr>
      <w:bookmarkStart w:id="0" w:name="Easy_as_1,_2,_3:_Implementing_an_Advocac"/>
      <w:bookmarkStart w:id="1" w:name="Sreevidya_Bodepudi,_DO_/_Danika_Johnson,"/>
      <w:bookmarkEnd w:id="0"/>
      <w:bookmarkEnd w:id="1"/>
    </w:p>
    <w:p w14:paraId="0C26EC17" w14:textId="5FB0C12A" w:rsidR="00195DA1" w:rsidRPr="00193FCB" w:rsidRDefault="00195DA1" w:rsidP="00195DA1">
      <w:pPr>
        <w:shd w:val="clear" w:color="auto" w:fill="FFFFFF"/>
        <w:spacing w:line="288" w:lineRule="atLeast"/>
        <w:jc w:val="center"/>
        <w:textAlignment w:val="baseline"/>
        <w:outlineLvl w:val="2"/>
        <w:rPr>
          <w:rFonts w:ascii="Calibri" w:hAnsi="Calibri" w:cs="Calibri"/>
          <w:b/>
          <w:bCs/>
          <w:sz w:val="28"/>
          <w:szCs w:val="28"/>
        </w:rPr>
      </w:pPr>
      <w:r w:rsidRPr="00193FCB">
        <w:rPr>
          <w:rFonts w:ascii="Calibri" w:hAnsi="Calibri" w:cs="Calibri"/>
          <w:b/>
          <w:bCs/>
          <w:sz w:val="28"/>
          <w:szCs w:val="28"/>
        </w:rPr>
        <w:t>202</w:t>
      </w:r>
      <w:r w:rsidR="000D6418">
        <w:rPr>
          <w:rFonts w:ascii="Calibri" w:hAnsi="Calibri" w:cs="Calibri"/>
          <w:b/>
          <w:bCs/>
          <w:sz w:val="28"/>
          <w:szCs w:val="28"/>
        </w:rPr>
        <w:t>6</w:t>
      </w:r>
      <w:r w:rsidRPr="00193FCB">
        <w:rPr>
          <w:rFonts w:ascii="Calibri" w:hAnsi="Calibri" w:cs="Calibri"/>
          <w:b/>
          <w:bCs/>
          <w:sz w:val="28"/>
          <w:szCs w:val="28"/>
        </w:rPr>
        <w:t xml:space="preserve"> Davee Foundation Lecture</w:t>
      </w:r>
    </w:p>
    <w:p w14:paraId="33197A1C" w14:textId="1B4E4583" w:rsidR="00195DA1" w:rsidRDefault="00195DA1" w:rsidP="00CB06D6">
      <w:pPr>
        <w:shd w:val="clear" w:color="auto" w:fill="FFFFFF"/>
        <w:spacing w:line="288" w:lineRule="atLeast"/>
        <w:jc w:val="center"/>
        <w:textAlignment w:val="baseline"/>
        <w:outlineLvl w:val="2"/>
        <w:rPr>
          <w:rFonts w:ascii="Calibri" w:hAnsi="Calibri" w:cs="Calibri"/>
          <w:b/>
          <w:bCs/>
          <w:sz w:val="28"/>
          <w:szCs w:val="28"/>
        </w:rPr>
      </w:pPr>
      <w:r w:rsidRPr="00193FCB">
        <w:rPr>
          <w:rFonts w:ascii="Calibri" w:hAnsi="Calibri" w:cs="Calibri"/>
          <w:b/>
          <w:bCs/>
          <w:sz w:val="28"/>
          <w:szCs w:val="28"/>
        </w:rPr>
        <w:t>and Resident Research Day</w:t>
      </w:r>
    </w:p>
    <w:p w14:paraId="58B235D4" w14:textId="77777777" w:rsidR="00EA07B0" w:rsidRPr="008D2952" w:rsidRDefault="00EA07B0" w:rsidP="009E4AE4">
      <w:pPr>
        <w:pStyle w:val="NoSpacing"/>
      </w:pPr>
    </w:p>
    <w:p w14:paraId="736E491A" w14:textId="77777777" w:rsidR="00195DA1" w:rsidRPr="008D2952" w:rsidRDefault="00195DA1" w:rsidP="00195DA1">
      <w:pPr>
        <w:shd w:val="clear" w:color="auto" w:fill="FFFFFF"/>
        <w:spacing w:line="288" w:lineRule="atLeast"/>
        <w:textAlignment w:val="baseline"/>
        <w:outlineLvl w:val="2"/>
        <w:rPr>
          <w:rFonts w:asciiTheme="minorHAnsi" w:hAnsiTheme="minorHAnsi" w:cstheme="minorHAnsi"/>
          <w:b/>
          <w:bCs/>
          <w:sz w:val="28"/>
          <w:szCs w:val="28"/>
        </w:rPr>
      </w:pPr>
      <w:r w:rsidRPr="008D2952">
        <w:rPr>
          <w:rFonts w:asciiTheme="minorHAnsi" w:hAnsiTheme="minorHAnsi" w:cstheme="minorHAnsi"/>
          <w:b/>
          <w:bCs/>
          <w:sz w:val="28"/>
          <w:szCs w:val="28"/>
        </w:rPr>
        <w:t>Abstract</w:t>
      </w:r>
    </w:p>
    <w:p w14:paraId="68F76ED7" w14:textId="77777777" w:rsidR="00195DA1" w:rsidRPr="008D2952" w:rsidRDefault="00195DA1" w:rsidP="009E4AE4">
      <w:pPr>
        <w:pStyle w:val="NoSpacing"/>
      </w:pPr>
    </w:p>
    <w:p w14:paraId="1D79D0BD" w14:textId="0D824B29" w:rsidR="000D6418" w:rsidRPr="008D2952" w:rsidRDefault="009E4AE4" w:rsidP="000D6418">
      <w:pPr>
        <w:shd w:val="clear" w:color="auto" w:fill="FFFFFF"/>
        <w:spacing w:line="288" w:lineRule="atLeast"/>
        <w:textAlignment w:val="baseline"/>
        <w:outlineLvl w:val="2"/>
        <w:rPr>
          <w:rFonts w:asciiTheme="minorHAnsi" w:hAnsiTheme="minorHAnsi" w:cstheme="minorHAnsi"/>
          <w:b/>
          <w:bCs/>
          <w:sz w:val="28"/>
          <w:szCs w:val="28"/>
        </w:rPr>
      </w:pPr>
      <w:r>
        <w:rPr>
          <w:rFonts w:asciiTheme="minorHAnsi" w:hAnsiTheme="minorHAnsi" w:cstheme="minorHAnsi"/>
          <w:b/>
          <w:bCs/>
          <w:sz w:val="28"/>
          <w:szCs w:val="28"/>
        </w:rPr>
        <w:t>Brittany Hsu, DO</w:t>
      </w:r>
    </w:p>
    <w:p w14:paraId="5917E0F5" w14:textId="40A227A6" w:rsidR="00195DA1" w:rsidRPr="008D2952" w:rsidRDefault="00195DA1" w:rsidP="000D6418">
      <w:pPr>
        <w:shd w:val="clear" w:color="auto" w:fill="FFFFFF"/>
        <w:spacing w:line="288" w:lineRule="atLeast"/>
        <w:textAlignment w:val="baseline"/>
        <w:outlineLvl w:val="2"/>
        <w:rPr>
          <w:rFonts w:asciiTheme="minorHAnsi" w:hAnsiTheme="minorHAnsi" w:cstheme="minorHAnsi"/>
          <w:b/>
          <w:bCs/>
          <w:sz w:val="24"/>
          <w:szCs w:val="24"/>
        </w:rPr>
      </w:pPr>
      <w:r w:rsidRPr="008D2952">
        <w:rPr>
          <w:rFonts w:asciiTheme="minorHAnsi" w:hAnsiTheme="minorHAnsi" w:cstheme="minorHAnsi"/>
          <w:b/>
          <w:bCs/>
          <w:sz w:val="24"/>
          <w:szCs w:val="24"/>
        </w:rPr>
        <w:t xml:space="preserve">Northwestern McGaw Family Medicine Residency at </w:t>
      </w:r>
      <w:proofErr w:type="spellStart"/>
      <w:r w:rsidR="008D2952" w:rsidRPr="008D2952">
        <w:rPr>
          <w:rFonts w:asciiTheme="minorHAnsi" w:hAnsiTheme="minorHAnsi" w:cstheme="minorHAnsi"/>
          <w:b/>
          <w:bCs/>
          <w:sz w:val="24"/>
          <w:szCs w:val="24"/>
        </w:rPr>
        <w:t>Delnor</w:t>
      </w:r>
      <w:proofErr w:type="spellEnd"/>
    </w:p>
    <w:p w14:paraId="041DF63E" w14:textId="77777777" w:rsidR="00195DA1" w:rsidRPr="008D2952" w:rsidRDefault="00195DA1" w:rsidP="00195DA1">
      <w:pPr>
        <w:tabs>
          <w:tab w:val="left" w:pos="2320"/>
        </w:tabs>
        <w:rPr>
          <w:rFonts w:asciiTheme="minorHAnsi" w:hAnsiTheme="minorHAnsi" w:cstheme="minorHAnsi"/>
          <w:b/>
          <w:bCs/>
          <w:sz w:val="24"/>
          <w:szCs w:val="24"/>
        </w:rPr>
      </w:pPr>
    </w:p>
    <w:p w14:paraId="3CD2D340" w14:textId="77777777" w:rsidR="009E4AE4" w:rsidRPr="009E4AE4" w:rsidRDefault="00CB06D6" w:rsidP="009E4AE4">
      <w:pPr>
        <w:pStyle w:val="Default"/>
        <w:suppressAutoHyphens/>
        <w:spacing w:before="0" w:line="240" w:lineRule="auto"/>
        <w:rPr>
          <w:rFonts w:asciiTheme="minorHAnsi" w:eastAsia="Arial" w:hAnsiTheme="minorHAnsi" w:cstheme="minorHAnsi"/>
          <w:b/>
          <w:bCs/>
          <w:color w:val="222222"/>
          <w:shd w:val="clear" w:color="auto" w:fill="FFFFFF"/>
        </w:rPr>
      </w:pPr>
      <w:r w:rsidRPr="009E4AE4">
        <w:rPr>
          <w:rFonts w:asciiTheme="minorHAnsi" w:eastAsia="Aptos" w:hAnsiTheme="minorHAnsi" w:cstheme="minorHAnsi"/>
          <w:b/>
          <w:bCs/>
          <w:color w:val="000000" w:themeColor="text1"/>
        </w:rPr>
        <w:t xml:space="preserve">Title:  </w:t>
      </w:r>
      <w:r w:rsidR="009E4AE4" w:rsidRPr="009E4AE4">
        <w:rPr>
          <w:rFonts w:asciiTheme="minorHAnsi" w:hAnsiTheme="minorHAnsi" w:cstheme="minorHAnsi"/>
          <w:b/>
          <w:bCs/>
          <w:color w:val="222222"/>
          <w:shd w:val="clear" w:color="auto" w:fill="FFFFFF"/>
        </w:rPr>
        <w:t>Analysis of Polypharmacy Rates in a Residency Clinic Before and After an Education Intervention</w:t>
      </w:r>
    </w:p>
    <w:p w14:paraId="2D080C69" w14:textId="7EFF1CE2" w:rsidR="008D2952" w:rsidRPr="008D2952" w:rsidRDefault="008D2952" w:rsidP="009E4AE4">
      <w:pPr>
        <w:pStyle w:val="NoSpacing"/>
        <w:rPr>
          <w:rFonts w:eastAsia="Aptos"/>
        </w:rPr>
      </w:pPr>
    </w:p>
    <w:p w14:paraId="240F1CF8" w14:textId="77777777" w:rsidR="009E4AE4" w:rsidRPr="00C5749C" w:rsidRDefault="009E4AE4" w:rsidP="009E4AE4">
      <w:pPr>
        <w:pStyle w:val="NoSpacing"/>
        <w:rPr>
          <w:rFonts w:asciiTheme="minorHAnsi" w:eastAsia="Aptos" w:hAnsiTheme="minorHAnsi" w:cstheme="minorHAnsi"/>
          <w:color w:val="000000" w:themeColor="text1"/>
          <w:sz w:val="24"/>
          <w:szCs w:val="24"/>
        </w:rPr>
      </w:pPr>
      <w:r w:rsidRPr="00C5749C">
        <w:rPr>
          <w:rFonts w:asciiTheme="minorHAnsi" w:eastAsia="Aptos" w:hAnsiTheme="minorHAnsi" w:cstheme="minorHAnsi"/>
          <w:b/>
          <w:bCs/>
          <w:color w:val="000000" w:themeColor="text1"/>
          <w:sz w:val="24"/>
          <w:szCs w:val="24"/>
        </w:rPr>
        <w:t xml:space="preserve">Background: </w:t>
      </w:r>
      <w:r w:rsidRPr="00C5749C">
        <w:rPr>
          <w:rFonts w:asciiTheme="minorHAnsi" w:eastAsia="Aptos" w:hAnsiTheme="minorHAnsi" w:cstheme="minorHAnsi"/>
          <w:color w:val="000000" w:themeColor="text1"/>
          <w:sz w:val="24"/>
          <w:szCs w:val="24"/>
        </w:rPr>
        <w:t xml:space="preserve">Polypharmacy, typically defined as the concurrent use of five or more medications (excluding supplements), is highly prevalent among older adults and contributes to increased risks of adverse drug events, falls, cognitive decline, and hospitalizations. Inappropriate polypharmacy often goes unaddressed in primary care settings, particularly in family medicine residency clinics where prescriber habits are still developing. </w:t>
      </w:r>
    </w:p>
    <w:p w14:paraId="72D72690" w14:textId="77777777" w:rsidR="009E4AE4" w:rsidRPr="00C5749C" w:rsidRDefault="009E4AE4" w:rsidP="009E4AE4">
      <w:pPr>
        <w:pStyle w:val="NoSpacing"/>
        <w:rPr>
          <w:rFonts w:asciiTheme="minorHAnsi" w:eastAsia="Aptos" w:hAnsiTheme="minorHAnsi" w:cstheme="minorHAnsi"/>
          <w:b/>
          <w:bCs/>
          <w:color w:val="000000" w:themeColor="text1"/>
          <w:sz w:val="24"/>
          <w:szCs w:val="24"/>
        </w:rPr>
      </w:pPr>
    </w:p>
    <w:p w14:paraId="42EF65A9" w14:textId="77777777" w:rsidR="009E4AE4" w:rsidRPr="00C5749C" w:rsidRDefault="009E4AE4" w:rsidP="009E4AE4">
      <w:pPr>
        <w:pStyle w:val="NoSpacing"/>
        <w:rPr>
          <w:rFonts w:asciiTheme="minorHAnsi" w:eastAsia="Aptos" w:hAnsiTheme="minorHAnsi" w:cstheme="minorHAnsi"/>
          <w:color w:val="000000" w:themeColor="text1"/>
          <w:sz w:val="24"/>
          <w:szCs w:val="24"/>
        </w:rPr>
      </w:pPr>
      <w:r w:rsidRPr="00C5749C">
        <w:rPr>
          <w:rFonts w:asciiTheme="minorHAnsi" w:eastAsia="Aptos" w:hAnsiTheme="minorHAnsi" w:cstheme="minorHAnsi"/>
          <w:b/>
          <w:bCs/>
          <w:color w:val="000000" w:themeColor="text1"/>
          <w:sz w:val="24"/>
          <w:szCs w:val="24"/>
        </w:rPr>
        <w:t xml:space="preserve">Objective: </w:t>
      </w:r>
      <w:r w:rsidRPr="00C5749C">
        <w:rPr>
          <w:rFonts w:asciiTheme="minorHAnsi" w:eastAsia="Aptos" w:hAnsiTheme="minorHAnsi" w:cstheme="minorHAnsi"/>
          <w:color w:val="000000" w:themeColor="text1"/>
          <w:sz w:val="24"/>
          <w:szCs w:val="24"/>
        </w:rPr>
        <w:t xml:space="preserve">This study aims to quantify the prevalence and patterns of polypharmacy and potentially inappropriate medications (PIMs) among geriatric patients in a family medicine residency clinic, and to assess provider familiarity with evidence-based deprescribing tools including the STOPP/START criteria, Beers Criteria, the ARMOR tool, and the Medication Appropriateness Index (MAI). </w:t>
      </w:r>
    </w:p>
    <w:p w14:paraId="751BEE44" w14:textId="77777777" w:rsidR="009E4AE4" w:rsidRPr="00C5749C" w:rsidRDefault="009E4AE4" w:rsidP="009E4AE4">
      <w:pPr>
        <w:pStyle w:val="NoSpacing"/>
        <w:rPr>
          <w:rFonts w:asciiTheme="minorHAnsi" w:eastAsia="Aptos" w:hAnsiTheme="minorHAnsi" w:cstheme="minorHAnsi"/>
          <w:b/>
          <w:bCs/>
          <w:color w:val="000000" w:themeColor="text1"/>
          <w:sz w:val="24"/>
          <w:szCs w:val="24"/>
        </w:rPr>
      </w:pPr>
    </w:p>
    <w:p w14:paraId="4B9099CB" w14:textId="77777777" w:rsidR="009E4AE4" w:rsidRPr="00C5749C" w:rsidRDefault="009E4AE4" w:rsidP="009E4AE4">
      <w:pPr>
        <w:pStyle w:val="NoSpacing"/>
        <w:rPr>
          <w:rFonts w:asciiTheme="minorHAnsi" w:eastAsia="Aptos" w:hAnsiTheme="minorHAnsi" w:cstheme="minorHAnsi"/>
          <w:color w:val="000000" w:themeColor="text1"/>
          <w:sz w:val="24"/>
          <w:szCs w:val="24"/>
        </w:rPr>
      </w:pPr>
      <w:r w:rsidRPr="00C5749C">
        <w:rPr>
          <w:rFonts w:asciiTheme="minorHAnsi" w:eastAsia="Aptos" w:hAnsiTheme="minorHAnsi" w:cstheme="minorHAnsi"/>
          <w:b/>
          <w:bCs/>
          <w:color w:val="000000" w:themeColor="text1"/>
          <w:sz w:val="24"/>
          <w:szCs w:val="24"/>
        </w:rPr>
        <w:t xml:space="preserve">Methods: </w:t>
      </w:r>
      <w:r w:rsidRPr="00C5749C">
        <w:rPr>
          <w:rFonts w:asciiTheme="minorHAnsi" w:eastAsia="Aptos" w:hAnsiTheme="minorHAnsi" w:cstheme="minorHAnsi"/>
          <w:color w:val="000000" w:themeColor="text1"/>
          <w:sz w:val="24"/>
          <w:szCs w:val="24"/>
        </w:rPr>
        <w:t xml:space="preserve">A retrospective chart review was conducted for all patients Inclusion criteria include all patients at the </w:t>
      </w:r>
      <w:proofErr w:type="spellStart"/>
      <w:r w:rsidRPr="00C5749C">
        <w:rPr>
          <w:rFonts w:asciiTheme="minorHAnsi" w:eastAsia="Aptos" w:hAnsiTheme="minorHAnsi" w:cstheme="minorHAnsi"/>
          <w:color w:val="000000" w:themeColor="text1"/>
          <w:sz w:val="24"/>
          <w:szCs w:val="24"/>
        </w:rPr>
        <w:t>Delnor</w:t>
      </w:r>
      <w:proofErr w:type="spellEnd"/>
      <w:r w:rsidRPr="00C5749C">
        <w:rPr>
          <w:rFonts w:asciiTheme="minorHAnsi" w:eastAsia="Aptos" w:hAnsiTheme="minorHAnsi" w:cstheme="minorHAnsi"/>
          <w:color w:val="000000" w:themeColor="text1"/>
          <w:sz w:val="24"/>
          <w:szCs w:val="24"/>
        </w:rPr>
        <w:t xml:space="preserve"> Family Medicine Residency clinic with a resident identified as their primary care provider (PCP), who are aged 65 years and older, have had at least two recent visits between January 2020 and March 2025, and meet criteria for polypharmacy. Patients who have seen other providers within the Northwestern system may still be included if a resident is designated as their current PCP. We will exclude patients with a current diagnosis of cancer and/or those who have had an encounter with RMG Palliative Care. Data collected included total number of medications, presence of PIMs, comorbidities, recent falls, hospitalizations, and documentation of deprescribing. In parallel, an anonymous survey was distributed to residents to evaluate their knowledge, usage, and perceived barriers to using deprescribing tools. </w:t>
      </w:r>
    </w:p>
    <w:p w14:paraId="0568DA97" w14:textId="77777777" w:rsidR="009E4AE4" w:rsidRPr="00C5749C" w:rsidRDefault="009E4AE4" w:rsidP="009E4AE4">
      <w:pPr>
        <w:pStyle w:val="NoSpacing"/>
        <w:rPr>
          <w:rFonts w:asciiTheme="minorHAnsi" w:eastAsia="Aptos" w:hAnsiTheme="minorHAnsi" w:cstheme="minorHAnsi"/>
          <w:b/>
          <w:bCs/>
          <w:color w:val="000000" w:themeColor="text1"/>
          <w:sz w:val="24"/>
          <w:szCs w:val="24"/>
        </w:rPr>
      </w:pPr>
    </w:p>
    <w:p w14:paraId="0272EAA7" w14:textId="19BFC8BE" w:rsidR="009E4AE4" w:rsidRPr="00C5749C" w:rsidRDefault="009E4AE4" w:rsidP="009E4AE4">
      <w:pPr>
        <w:pStyle w:val="NoSpacing"/>
        <w:rPr>
          <w:rFonts w:asciiTheme="minorHAnsi" w:eastAsia="Aptos" w:hAnsiTheme="minorHAnsi" w:cstheme="minorHAnsi"/>
          <w:color w:val="000000" w:themeColor="text1"/>
          <w:sz w:val="24"/>
          <w:szCs w:val="24"/>
        </w:rPr>
      </w:pPr>
      <w:r w:rsidRPr="00C5749C">
        <w:rPr>
          <w:rFonts w:asciiTheme="minorHAnsi" w:eastAsia="Aptos" w:hAnsiTheme="minorHAnsi" w:cstheme="minorHAnsi"/>
          <w:b/>
          <w:bCs/>
          <w:color w:val="000000" w:themeColor="text1"/>
          <w:sz w:val="24"/>
          <w:szCs w:val="24"/>
        </w:rPr>
        <w:t xml:space="preserve">Results: </w:t>
      </w:r>
      <w:r w:rsidRPr="00C5749C">
        <w:rPr>
          <w:rFonts w:asciiTheme="minorHAnsi" w:eastAsia="Aptos" w:hAnsiTheme="minorHAnsi" w:cstheme="minorHAnsi"/>
          <w:color w:val="000000" w:themeColor="text1"/>
          <w:sz w:val="24"/>
          <w:szCs w:val="24"/>
        </w:rPr>
        <w:t xml:space="preserve">The survey found that </w:t>
      </w:r>
      <w:proofErr w:type="gramStart"/>
      <w:r w:rsidRPr="00C5749C">
        <w:rPr>
          <w:rFonts w:asciiTheme="minorHAnsi" w:eastAsia="Aptos" w:hAnsiTheme="minorHAnsi" w:cstheme="minorHAnsi"/>
          <w:color w:val="000000" w:themeColor="text1"/>
          <w:sz w:val="24"/>
          <w:szCs w:val="24"/>
        </w:rPr>
        <w:t>the majority of</w:t>
      </w:r>
      <w:proofErr w:type="gramEnd"/>
      <w:r w:rsidRPr="00C5749C">
        <w:rPr>
          <w:rFonts w:asciiTheme="minorHAnsi" w:eastAsia="Aptos" w:hAnsiTheme="minorHAnsi" w:cstheme="minorHAnsi"/>
          <w:color w:val="000000" w:themeColor="text1"/>
          <w:sz w:val="24"/>
          <w:szCs w:val="24"/>
        </w:rPr>
        <w:t xml:space="preserve"> residents have rarely continued any formal education on polypharmacy since starting residency. </w:t>
      </w:r>
      <w:proofErr w:type="gramStart"/>
      <w:r w:rsidRPr="00C5749C">
        <w:rPr>
          <w:rFonts w:asciiTheme="minorHAnsi" w:eastAsia="Aptos" w:hAnsiTheme="minorHAnsi" w:cstheme="minorHAnsi"/>
          <w:color w:val="000000" w:themeColor="text1"/>
          <w:sz w:val="24"/>
          <w:szCs w:val="24"/>
        </w:rPr>
        <w:t>The majority of</w:t>
      </w:r>
      <w:proofErr w:type="gramEnd"/>
      <w:r w:rsidRPr="00C5749C">
        <w:rPr>
          <w:rFonts w:asciiTheme="minorHAnsi" w:eastAsia="Aptos" w:hAnsiTheme="minorHAnsi" w:cstheme="minorHAnsi"/>
          <w:color w:val="000000" w:themeColor="text1"/>
          <w:sz w:val="24"/>
          <w:szCs w:val="24"/>
        </w:rPr>
        <w:t xml:space="preserve"> residents were aware of the importance of deprescribing in the outpatient setting prior to any intervention. However, knowledge of polypharmacy and confidence in deprescribing were variable. Residents ranked “lack of time,” “lack of alternative options,” and “patient resistance” as most significant barriers to deprescribing. Formal education on polypharmacy, deprescribing, and the available deprescribing tools/resources during didactics have </w:t>
      </w:r>
      <w:r w:rsidR="00EC24D6" w:rsidRPr="00C5749C">
        <w:rPr>
          <w:rFonts w:asciiTheme="minorHAnsi" w:eastAsia="Aptos" w:hAnsiTheme="minorHAnsi" w:cstheme="minorHAnsi"/>
          <w:color w:val="000000" w:themeColor="text1"/>
          <w:sz w:val="24"/>
          <w:szCs w:val="24"/>
        </w:rPr>
        <w:t>shown</w:t>
      </w:r>
      <w:r w:rsidRPr="00C5749C">
        <w:rPr>
          <w:rFonts w:asciiTheme="minorHAnsi" w:eastAsia="Aptos" w:hAnsiTheme="minorHAnsi" w:cstheme="minorHAnsi"/>
          <w:color w:val="000000" w:themeColor="text1"/>
          <w:sz w:val="24"/>
          <w:szCs w:val="24"/>
        </w:rPr>
        <w:t xml:space="preserve"> self-reported improvement in family medicine residents’ knowledge of and </w:t>
      </w:r>
      <w:r w:rsidRPr="00C5749C">
        <w:rPr>
          <w:rFonts w:asciiTheme="minorHAnsi" w:eastAsia="Aptos" w:hAnsiTheme="minorHAnsi" w:cstheme="minorHAnsi"/>
          <w:b/>
          <w:bCs/>
          <w:color w:val="000000" w:themeColor="text1"/>
          <w:sz w:val="24"/>
          <w:szCs w:val="24"/>
        </w:rPr>
        <w:t xml:space="preserve">confidence in </w:t>
      </w:r>
      <w:r w:rsidRPr="00C5749C">
        <w:rPr>
          <w:rFonts w:asciiTheme="minorHAnsi" w:eastAsia="Aptos" w:hAnsiTheme="minorHAnsi" w:cstheme="minorHAnsi"/>
          <w:color w:val="000000" w:themeColor="text1"/>
          <w:sz w:val="24"/>
          <w:szCs w:val="24"/>
        </w:rPr>
        <w:t xml:space="preserve">deprescribing within the ambulatory setting.  Following the deprescribing educational intervention, </w:t>
      </w:r>
      <w:r w:rsidRPr="00C5749C">
        <w:rPr>
          <w:rFonts w:asciiTheme="minorHAnsi" w:eastAsia="Aptos" w:hAnsiTheme="minorHAnsi" w:cstheme="minorHAnsi"/>
          <w:color w:val="000000" w:themeColor="text1"/>
          <w:sz w:val="24"/>
          <w:szCs w:val="24"/>
        </w:rPr>
        <w:lastRenderedPageBreak/>
        <w:t>several prescribing-related clinic utilization metrics demonstrated statistically significant changes. Average number of prescriptions per patient increased from 3.50 pre-intervention to 4.51 post-intervention (p &lt; 0.05). The average number of unique clinicians involved in patient care decreased significantly from 2.71 clinicians per patient (1/16/2023–1/15/2025) to 1.35 clinicians per patient (1/16/2025–7/16/2025) (p &lt;0.05). The average number of office visits per patient also decreased significantly from 5.64 visits per patient (1/16/2023–1/15/2025) to 1.94 visits per patient (1/16/2025–7/16/2025) (p &lt; 0.05).</w:t>
      </w:r>
    </w:p>
    <w:p w14:paraId="72F29641" w14:textId="77777777" w:rsidR="00EC24D6" w:rsidRPr="00C5749C" w:rsidRDefault="00EC24D6" w:rsidP="009E4AE4">
      <w:pPr>
        <w:pStyle w:val="NoSpacing"/>
        <w:rPr>
          <w:rFonts w:asciiTheme="minorHAnsi" w:eastAsia="Aptos" w:hAnsiTheme="minorHAnsi" w:cstheme="minorHAnsi"/>
          <w:color w:val="000000" w:themeColor="text1"/>
          <w:sz w:val="24"/>
          <w:szCs w:val="24"/>
        </w:rPr>
      </w:pPr>
    </w:p>
    <w:p w14:paraId="0DA0B089" w14:textId="5D2C6032" w:rsidR="009E4AE4" w:rsidRPr="00C5749C" w:rsidRDefault="009E4AE4" w:rsidP="009E4AE4">
      <w:pPr>
        <w:pStyle w:val="NoSpacing"/>
        <w:rPr>
          <w:rFonts w:asciiTheme="minorHAnsi" w:eastAsia="Aptos" w:hAnsiTheme="minorHAnsi" w:cstheme="minorHAnsi"/>
          <w:color w:val="000000" w:themeColor="text1"/>
          <w:sz w:val="24"/>
          <w:szCs w:val="24"/>
        </w:rPr>
      </w:pPr>
      <w:r w:rsidRPr="00C5749C">
        <w:rPr>
          <w:rFonts w:asciiTheme="minorHAnsi" w:eastAsia="Aptos" w:hAnsiTheme="minorHAnsi" w:cstheme="minorHAnsi"/>
          <w:b/>
          <w:bCs/>
          <w:color w:val="000000" w:themeColor="text1"/>
          <w:sz w:val="24"/>
          <w:szCs w:val="24"/>
        </w:rPr>
        <w:t xml:space="preserve">Conclusions: </w:t>
      </w:r>
      <w:r w:rsidRPr="00C5749C">
        <w:rPr>
          <w:rFonts w:asciiTheme="minorHAnsi" w:eastAsia="Aptos" w:hAnsiTheme="minorHAnsi" w:cstheme="minorHAnsi"/>
          <w:color w:val="000000" w:themeColor="text1"/>
          <w:sz w:val="24"/>
          <w:szCs w:val="24"/>
        </w:rPr>
        <w:t xml:space="preserve">Incorporating structured education on polypharmacy and deprescribing into the </w:t>
      </w:r>
      <w:r w:rsidR="00EC24D6" w:rsidRPr="00C5749C">
        <w:rPr>
          <w:rFonts w:asciiTheme="minorHAnsi" w:eastAsia="Aptos" w:hAnsiTheme="minorHAnsi" w:cstheme="minorHAnsi"/>
          <w:color w:val="000000" w:themeColor="text1"/>
          <w:sz w:val="24"/>
          <w:szCs w:val="24"/>
        </w:rPr>
        <w:t>F</w:t>
      </w:r>
      <w:r w:rsidRPr="00C5749C">
        <w:rPr>
          <w:rFonts w:asciiTheme="minorHAnsi" w:eastAsia="Aptos" w:hAnsiTheme="minorHAnsi" w:cstheme="minorHAnsi"/>
          <w:color w:val="000000" w:themeColor="text1"/>
          <w:sz w:val="24"/>
          <w:szCs w:val="24"/>
        </w:rPr>
        <w:t>amily</w:t>
      </w:r>
    </w:p>
    <w:p w14:paraId="160C842C" w14:textId="586E7138" w:rsidR="000D6418" w:rsidRPr="00C5749C" w:rsidRDefault="00EC24D6" w:rsidP="009E4AE4">
      <w:pPr>
        <w:pStyle w:val="NoSpacing"/>
        <w:rPr>
          <w:rFonts w:asciiTheme="minorHAnsi" w:eastAsia="Aptos" w:hAnsiTheme="minorHAnsi" w:cstheme="minorHAnsi"/>
          <w:color w:val="000000" w:themeColor="text1"/>
          <w:sz w:val="24"/>
          <w:szCs w:val="24"/>
        </w:rPr>
      </w:pPr>
      <w:r w:rsidRPr="00C5749C">
        <w:rPr>
          <w:rFonts w:asciiTheme="minorHAnsi" w:eastAsia="Aptos" w:hAnsiTheme="minorHAnsi" w:cstheme="minorHAnsi"/>
          <w:color w:val="000000" w:themeColor="text1"/>
          <w:sz w:val="24"/>
          <w:szCs w:val="24"/>
        </w:rPr>
        <w:t>M</w:t>
      </w:r>
      <w:r w:rsidR="009E4AE4" w:rsidRPr="00C5749C">
        <w:rPr>
          <w:rFonts w:asciiTheme="minorHAnsi" w:eastAsia="Aptos" w:hAnsiTheme="minorHAnsi" w:cstheme="minorHAnsi"/>
          <w:color w:val="000000" w:themeColor="text1"/>
          <w:sz w:val="24"/>
          <w:szCs w:val="24"/>
        </w:rPr>
        <w:t>edicine residency curriculum improved residents’ knowledge and confidence in identifying and addressing inappropriate polypharmacy in the outpatient setting. Despite the intervention, slightly more prescriptions were prescribed (4.5 vs. 3.5) after the intervention. However, this may also reflect the complexity of patients’ health. Despite increased prescription counts, patients saw fewer clinicians and had fewer visits in the post-intervention period. Reduced clinician and visit burden may suggest improved continuity of care or more efficient patient management after the intervention. The rise in prescription count could reflect increased medication optimization and follow-up, or early implementation phase effects. Future research can be done with a longer education and intervention period.</w:t>
      </w:r>
    </w:p>
    <w:sectPr w:rsidR="000D6418" w:rsidRPr="00C5749C" w:rsidSect="00A95632">
      <w:footerReference w:type="default" r:id="rId8"/>
      <w:type w:val="continuous"/>
      <w:pgSz w:w="12240" w:h="15840"/>
      <w:pgMar w:top="1498" w:right="1008" w:bottom="274"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9C643" w14:textId="77777777" w:rsidR="006B5FD7" w:rsidRDefault="006B5FD7" w:rsidP="00A05A5E">
      <w:r>
        <w:separator/>
      </w:r>
    </w:p>
  </w:endnote>
  <w:endnote w:type="continuationSeparator" w:id="0">
    <w:p w14:paraId="352E7153" w14:textId="77777777" w:rsidR="006B5FD7" w:rsidRDefault="006B5FD7" w:rsidP="00A05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2EBF4" w14:textId="10AE7439" w:rsidR="00A05A5E" w:rsidRPr="000837A3" w:rsidRDefault="00A05A5E" w:rsidP="00A05A5E">
    <w:pPr>
      <w:pStyle w:val="Footer"/>
      <w:rPr>
        <w:rFonts w:ascii="Calibri" w:hAnsi="Calibri" w:cs="Calibri"/>
      </w:rPr>
    </w:pPr>
    <w:r w:rsidRPr="000837A3">
      <w:rPr>
        <w:rFonts w:ascii="Calibri" w:hAnsi="Calibri" w:cs="Calibri"/>
      </w:rPr>
      <w:t>202</w:t>
    </w:r>
    <w:r w:rsidR="000D6418">
      <w:rPr>
        <w:rFonts w:ascii="Calibri" w:hAnsi="Calibri" w:cs="Calibri"/>
      </w:rPr>
      <w:t>6</w:t>
    </w:r>
    <w:r w:rsidRPr="000837A3">
      <w:rPr>
        <w:rFonts w:ascii="Calibri" w:hAnsi="Calibri" w:cs="Calibri"/>
      </w:rPr>
      <w:t xml:space="preserve"> Resident Research Day</w:t>
    </w:r>
    <w:r w:rsidRPr="000837A3">
      <w:rPr>
        <w:rFonts w:ascii="Calibri" w:hAnsi="Calibri" w:cs="Calibri"/>
      </w:rPr>
      <w:br/>
      <w:t>Northwestern Department of Family and Community Medicine</w:t>
    </w:r>
  </w:p>
  <w:p w14:paraId="3D5CD11C" w14:textId="77777777" w:rsidR="00A05A5E" w:rsidRDefault="00A05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A1DC8" w14:textId="77777777" w:rsidR="006B5FD7" w:rsidRDefault="006B5FD7" w:rsidP="00A05A5E">
      <w:r>
        <w:separator/>
      </w:r>
    </w:p>
  </w:footnote>
  <w:footnote w:type="continuationSeparator" w:id="0">
    <w:p w14:paraId="73D8B5F1" w14:textId="77777777" w:rsidR="006B5FD7" w:rsidRDefault="006B5FD7" w:rsidP="00A05A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65021"/>
    <w:multiLevelType w:val="hybridMultilevel"/>
    <w:tmpl w:val="AFDC334C"/>
    <w:lvl w:ilvl="0" w:tplc="5EFC7262">
      <w:start w:val="1"/>
      <w:numFmt w:val="bullet"/>
      <w:lvlText w:val="§"/>
      <w:lvlJc w:val="left"/>
      <w:pPr>
        <w:tabs>
          <w:tab w:val="num" w:pos="720"/>
        </w:tabs>
        <w:ind w:left="720" w:hanging="360"/>
      </w:pPr>
      <w:rPr>
        <w:rFonts w:ascii="Wingdings" w:hAnsi="Wingdings" w:hint="default"/>
      </w:rPr>
    </w:lvl>
    <w:lvl w:ilvl="1" w:tplc="739A7214" w:tentative="1">
      <w:start w:val="1"/>
      <w:numFmt w:val="bullet"/>
      <w:lvlText w:val="§"/>
      <w:lvlJc w:val="left"/>
      <w:pPr>
        <w:tabs>
          <w:tab w:val="num" w:pos="1440"/>
        </w:tabs>
        <w:ind w:left="1440" w:hanging="360"/>
      </w:pPr>
      <w:rPr>
        <w:rFonts w:ascii="Wingdings" w:hAnsi="Wingdings" w:hint="default"/>
      </w:rPr>
    </w:lvl>
    <w:lvl w:ilvl="2" w:tplc="E1122DA6" w:tentative="1">
      <w:start w:val="1"/>
      <w:numFmt w:val="bullet"/>
      <w:lvlText w:val="§"/>
      <w:lvlJc w:val="left"/>
      <w:pPr>
        <w:tabs>
          <w:tab w:val="num" w:pos="2160"/>
        </w:tabs>
        <w:ind w:left="2160" w:hanging="360"/>
      </w:pPr>
      <w:rPr>
        <w:rFonts w:ascii="Wingdings" w:hAnsi="Wingdings" w:hint="default"/>
      </w:rPr>
    </w:lvl>
    <w:lvl w:ilvl="3" w:tplc="C08AFF2C" w:tentative="1">
      <w:start w:val="1"/>
      <w:numFmt w:val="bullet"/>
      <w:lvlText w:val="§"/>
      <w:lvlJc w:val="left"/>
      <w:pPr>
        <w:tabs>
          <w:tab w:val="num" w:pos="2880"/>
        </w:tabs>
        <w:ind w:left="2880" w:hanging="360"/>
      </w:pPr>
      <w:rPr>
        <w:rFonts w:ascii="Wingdings" w:hAnsi="Wingdings" w:hint="default"/>
      </w:rPr>
    </w:lvl>
    <w:lvl w:ilvl="4" w:tplc="FF724A90" w:tentative="1">
      <w:start w:val="1"/>
      <w:numFmt w:val="bullet"/>
      <w:lvlText w:val="§"/>
      <w:lvlJc w:val="left"/>
      <w:pPr>
        <w:tabs>
          <w:tab w:val="num" w:pos="3600"/>
        </w:tabs>
        <w:ind w:left="3600" w:hanging="360"/>
      </w:pPr>
      <w:rPr>
        <w:rFonts w:ascii="Wingdings" w:hAnsi="Wingdings" w:hint="default"/>
      </w:rPr>
    </w:lvl>
    <w:lvl w:ilvl="5" w:tplc="F5BCC61E" w:tentative="1">
      <w:start w:val="1"/>
      <w:numFmt w:val="bullet"/>
      <w:lvlText w:val="§"/>
      <w:lvlJc w:val="left"/>
      <w:pPr>
        <w:tabs>
          <w:tab w:val="num" w:pos="4320"/>
        </w:tabs>
        <w:ind w:left="4320" w:hanging="360"/>
      </w:pPr>
      <w:rPr>
        <w:rFonts w:ascii="Wingdings" w:hAnsi="Wingdings" w:hint="default"/>
      </w:rPr>
    </w:lvl>
    <w:lvl w:ilvl="6" w:tplc="10667D3A" w:tentative="1">
      <w:start w:val="1"/>
      <w:numFmt w:val="bullet"/>
      <w:lvlText w:val="§"/>
      <w:lvlJc w:val="left"/>
      <w:pPr>
        <w:tabs>
          <w:tab w:val="num" w:pos="5040"/>
        </w:tabs>
        <w:ind w:left="5040" w:hanging="360"/>
      </w:pPr>
      <w:rPr>
        <w:rFonts w:ascii="Wingdings" w:hAnsi="Wingdings" w:hint="default"/>
      </w:rPr>
    </w:lvl>
    <w:lvl w:ilvl="7" w:tplc="C07AB2CC" w:tentative="1">
      <w:start w:val="1"/>
      <w:numFmt w:val="bullet"/>
      <w:lvlText w:val="§"/>
      <w:lvlJc w:val="left"/>
      <w:pPr>
        <w:tabs>
          <w:tab w:val="num" w:pos="5760"/>
        </w:tabs>
        <w:ind w:left="5760" w:hanging="360"/>
      </w:pPr>
      <w:rPr>
        <w:rFonts w:ascii="Wingdings" w:hAnsi="Wingdings" w:hint="default"/>
      </w:rPr>
    </w:lvl>
    <w:lvl w:ilvl="8" w:tplc="EA0C939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B4300D"/>
    <w:multiLevelType w:val="hybridMultilevel"/>
    <w:tmpl w:val="1EBA4E22"/>
    <w:lvl w:ilvl="0" w:tplc="EF507CF0">
      <w:start w:val="1"/>
      <w:numFmt w:val="bullet"/>
      <w:lvlText w:val="•"/>
      <w:lvlJc w:val="left"/>
      <w:pPr>
        <w:tabs>
          <w:tab w:val="num" w:pos="720"/>
        </w:tabs>
        <w:ind w:left="720" w:hanging="360"/>
      </w:pPr>
      <w:rPr>
        <w:rFonts w:ascii="Arial" w:hAnsi="Arial" w:hint="default"/>
      </w:rPr>
    </w:lvl>
    <w:lvl w:ilvl="1" w:tplc="65B2BE86" w:tentative="1">
      <w:start w:val="1"/>
      <w:numFmt w:val="bullet"/>
      <w:lvlText w:val="•"/>
      <w:lvlJc w:val="left"/>
      <w:pPr>
        <w:tabs>
          <w:tab w:val="num" w:pos="1440"/>
        </w:tabs>
        <w:ind w:left="1440" w:hanging="360"/>
      </w:pPr>
      <w:rPr>
        <w:rFonts w:ascii="Arial" w:hAnsi="Arial" w:hint="default"/>
      </w:rPr>
    </w:lvl>
    <w:lvl w:ilvl="2" w:tplc="917E1DD8" w:tentative="1">
      <w:start w:val="1"/>
      <w:numFmt w:val="bullet"/>
      <w:lvlText w:val="•"/>
      <w:lvlJc w:val="left"/>
      <w:pPr>
        <w:tabs>
          <w:tab w:val="num" w:pos="2160"/>
        </w:tabs>
        <w:ind w:left="2160" w:hanging="360"/>
      </w:pPr>
      <w:rPr>
        <w:rFonts w:ascii="Arial" w:hAnsi="Arial" w:hint="default"/>
      </w:rPr>
    </w:lvl>
    <w:lvl w:ilvl="3" w:tplc="52AC0C4A" w:tentative="1">
      <w:start w:val="1"/>
      <w:numFmt w:val="bullet"/>
      <w:lvlText w:val="•"/>
      <w:lvlJc w:val="left"/>
      <w:pPr>
        <w:tabs>
          <w:tab w:val="num" w:pos="2880"/>
        </w:tabs>
        <w:ind w:left="2880" w:hanging="360"/>
      </w:pPr>
      <w:rPr>
        <w:rFonts w:ascii="Arial" w:hAnsi="Arial" w:hint="default"/>
      </w:rPr>
    </w:lvl>
    <w:lvl w:ilvl="4" w:tplc="DF0A00F8" w:tentative="1">
      <w:start w:val="1"/>
      <w:numFmt w:val="bullet"/>
      <w:lvlText w:val="•"/>
      <w:lvlJc w:val="left"/>
      <w:pPr>
        <w:tabs>
          <w:tab w:val="num" w:pos="3600"/>
        </w:tabs>
        <w:ind w:left="3600" w:hanging="360"/>
      </w:pPr>
      <w:rPr>
        <w:rFonts w:ascii="Arial" w:hAnsi="Arial" w:hint="default"/>
      </w:rPr>
    </w:lvl>
    <w:lvl w:ilvl="5" w:tplc="9F948784" w:tentative="1">
      <w:start w:val="1"/>
      <w:numFmt w:val="bullet"/>
      <w:lvlText w:val="•"/>
      <w:lvlJc w:val="left"/>
      <w:pPr>
        <w:tabs>
          <w:tab w:val="num" w:pos="4320"/>
        </w:tabs>
        <w:ind w:left="4320" w:hanging="360"/>
      </w:pPr>
      <w:rPr>
        <w:rFonts w:ascii="Arial" w:hAnsi="Arial" w:hint="default"/>
      </w:rPr>
    </w:lvl>
    <w:lvl w:ilvl="6" w:tplc="51104C04" w:tentative="1">
      <w:start w:val="1"/>
      <w:numFmt w:val="bullet"/>
      <w:lvlText w:val="•"/>
      <w:lvlJc w:val="left"/>
      <w:pPr>
        <w:tabs>
          <w:tab w:val="num" w:pos="5040"/>
        </w:tabs>
        <w:ind w:left="5040" w:hanging="360"/>
      </w:pPr>
      <w:rPr>
        <w:rFonts w:ascii="Arial" w:hAnsi="Arial" w:hint="default"/>
      </w:rPr>
    </w:lvl>
    <w:lvl w:ilvl="7" w:tplc="A3848414" w:tentative="1">
      <w:start w:val="1"/>
      <w:numFmt w:val="bullet"/>
      <w:lvlText w:val="•"/>
      <w:lvlJc w:val="left"/>
      <w:pPr>
        <w:tabs>
          <w:tab w:val="num" w:pos="5760"/>
        </w:tabs>
        <w:ind w:left="5760" w:hanging="360"/>
      </w:pPr>
      <w:rPr>
        <w:rFonts w:ascii="Arial" w:hAnsi="Arial" w:hint="default"/>
      </w:rPr>
    </w:lvl>
    <w:lvl w:ilvl="8" w:tplc="95345B1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4814335"/>
    <w:multiLevelType w:val="hybridMultilevel"/>
    <w:tmpl w:val="FDBCCBD6"/>
    <w:lvl w:ilvl="0" w:tplc="51B02E7E">
      <w:start w:val="1"/>
      <w:numFmt w:val="bullet"/>
      <w:lvlText w:val="•"/>
      <w:lvlJc w:val="left"/>
      <w:pPr>
        <w:tabs>
          <w:tab w:val="num" w:pos="720"/>
        </w:tabs>
        <w:ind w:left="720" w:hanging="360"/>
      </w:pPr>
      <w:rPr>
        <w:rFonts w:ascii="Arial" w:hAnsi="Arial" w:hint="default"/>
      </w:rPr>
    </w:lvl>
    <w:lvl w:ilvl="1" w:tplc="22464EFE" w:tentative="1">
      <w:start w:val="1"/>
      <w:numFmt w:val="bullet"/>
      <w:lvlText w:val="•"/>
      <w:lvlJc w:val="left"/>
      <w:pPr>
        <w:tabs>
          <w:tab w:val="num" w:pos="1440"/>
        </w:tabs>
        <w:ind w:left="1440" w:hanging="360"/>
      </w:pPr>
      <w:rPr>
        <w:rFonts w:ascii="Arial" w:hAnsi="Arial" w:hint="default"/>
      </w:rPr>
    </w:lvl>
    <w:lvl w:ilvl="2" w:tplc="BFE0A342" w:tentative="1">
      <w:start w:val="1"/>
      <w:numFmt w:val="bullet"/>
      <w:lvlText w:val="•"/>
      <w:lvlJc w:val="left"/>
      <w:pPr>
        <w:tabs>
          <w:tab w:val="num" w:pos="2160"/>
        </w:tabs>
        <w:ind w:left="2160" w:hanging="360"/>
      </w:pPr>
      <w:rPr>
        <w:rFonts w:ascii="Arial" w:hAnsi="Arial" w:hint="default"/>
      </w:rPr>
    </w:lvl>
    <w:lvl w:ilvl="3" w:tplc="9BBA9824" w:tentative="1">
      <w:start w:val="1"/>
      <w:numFmt w:val="bullet"/>
      <w:lvlText w:val="•"/>
      <w:lvlJc w:val="left"/>
      <w:pPr>
        <w:tabs>
          <w:tab w:val="num" w:pos="2880"/>
        </w:tabs>
        <w:ind w:left="2880" w:hanging="360"/>
      </w:pPr>
      <w:rPr>
        <w:rFonts w:ascii="Arial" w:hAnsi="Arial" w:hint="default"/>
      </w:rPr>
    </w:lvl>
    <w:lvl w:ilvl="4" w:tplc="386CFEC8" w:tentative="1">
      <w:start w:val="1"/>
      <w:numFmt w:val="bullet"/>
      <w:lvlText w:val="•"/>
      <w:lvlJc w:val="left"/>
      <w:pPr>
        <w:tabs>
          <w:tab w:val="num" w:pos="3600"/>
        </w:tabs>
        <w:ind w:left="3600" w:hanging="360"/>
      </w:pPr>
      <w:rPr>
        <w:rFonts w:ascii="Arial" w:hAnsi="Arial" w:hint="default"/>
      </w:rPr>
    </w:lvl>
    <w:lvl w:ilvl="5" w:tplc="E550DA88" w:tentative="1">
      <w:start w:val="1"/>
      <w:numFmt w:val="bullet"/>
      <w:lvlText w:val="•"/>
      <w:lvlJc w:val="left"/>
      <w:pPr>
        <w:tabs>
          <w:tab w:val="num" w:pos="4320"/>
        </w:tabs>
        <w:ind w:left="4320" w:hanging="360"/>
      </w:pPr>
      <w:rPr>
        <w:rFonts w:ascii="Arial" w:hAnsi="Arial" w:hint="default"/>
      </w:rPr>
    </w:lvl>
    <w:lvl w:ilvl="6" w:tplc="5282B308" w:tentative="1">
      <w:start w:val="1"/>
      <w:numFmt w:val="bullet"/>
      <w:lvlText w:val="•"/>
      <w:lvlJc w:val="left"/>
      <w:pPr>
        <w:tabs>
          <w:tab w:val="num" w:pos="5040"/>
        </w:tabs>
        <w:ind w:left="5040" w:hanging="360"/>
      </w:pPr>
      <w:rPr>
        <w:rFonts w:ascii="Arial" w:hAnsi="Arial" w:hint="default"/>
      </w:rPr>
    </w:lvl>
    <w:lvl w:ilvl="7" w:tplc="E76236CC" w:tentative="1">
      <w:start w:val="1"/>
      <w:numFmt w:val="bullet"/>
      <w:lvlText w:val="•"/>
      <w:lvlJc w:val="left"/>
      <w:pPr>
        <w:tabs>
          <w:tab w:val="num" w:pos="5760"/>
        </w:tabs>
        <w:ind w:left="5760" w:hanging="360"/>
      </w:pPr>
      <w:rPr>
        <w:rFonts w:ascii="Arial" w:hAnsi="Arial" w:hint="default"/>
      </w:rPr>
    </w:lvl>
    <w:lvl w:ilvl="8" w:tplc="8B3E4A4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16545C7"/>
    <w:multiLevelType w:val="hybridMultilevel"/>
    <w:tmpl w:val="5DEA3B3A"/>
    <w:lvl w:ilvl="0" w:tplc="A35A6530">
      <w:start w:val="1"/>
      <w:numFmt w:val="bullet"/>
      <w:lvlText w:val="•"/>
      <w:lvlJc w:val="left"/>
      <w:pPr>
        <w:tabs>
          <w:tab w:val="num" w:pos="720"/>
        </w:tabs>
        <w:ind w:left="720" w:hanging="360"/>
      </w:pPr>
      <w:rPr>
        <w:rFonts w:ascii="Arial" w:hAnsi="Arial" w:hint="default"/>
      </w:rPr>
    </w:lvl>
    <w:lvl w:ilvl="1" w:tplc="5A143580" w:tentative="1">
      <w:start w:val="1"/>
      <w:numFmt w:val="bullet"/>
      <w:lvlText w:val="•"/>
      <w:lvlJc w:val="left"/>
      <w:pPr>
        <w:tabs>
          <w:tab w:val="num" w:pos="1440"/>
        </w:tabs>
        <w:ind w:left="1440" w:hanging="360"/>
      </w:pPr>
      <w:rPr>
        <w:rFonts w:ascii="Arial" w:hAnsi="Arial" w:hint="default"/>
      </w:rPr>
    </w:lvl>
    <w:lvl w:ilvl="2" w:tplc="C0DEA008" w:tentative="1">
      <w:start w:val="1"/>
      <w:numFmt w:val="bullet"/>
      <w:lvlText w:val="•"/>
      <w:lvlJc w:val="left"/>
      <w:pPr>
        <w:tabs>
          <w:tab w:val="num" w:pos="2160"/>
        </w:tabs>
        <w:ind w:left="2160" w:hanging="360"/>
      </w:pPr>
      <w:rPr>
        <w:rFonts w:ascii="Arial" w:hAnsi="Arial" w:hint="default"/>
      </w:rPr>
    </w:lvl>
    <w:lvl w:ilvl="3" w:tplc="E7CE6D68" w:tentative="1">
      <w:start w:val="1"/>
      <w:numFmt w:val="bullet"/>
      <w:lvlText w:val="•"/>
      <w:lvlJc w:val="left"/>
      <w:pPr>
        <w:tabs>
          <w:tab w:val="num" w:pos="2880"/>
        </w:tabs>
        <w:ind w:left="2880" w:hanging="360"/>
      </w:pPr>
      <w:rPr>
        <w:rFonts w:ascii="Arial" w:hAnsi="Arial" w:hint="default"/>
      </w:rPr>
    </w:lvl>
    <w:lvl w:ilvl="4" w:tplc="C876EB12" w:tentative="1">
      <w:start w:val="1"/>
      <w:numFmt w:val="bullet"/>
      <w:lvlText w:val="•"/>
      <w:lvlJc w:val="left"/>
      <w:pPr>
        <w:tabs>
          <w:tab w:val="num" w:pos="3600"/>
        </w:tabs>
        <w:ind w:left="3600" w:hanging="360"/>
      </w:pPr>
      <w:rPr>
        <w:rFonts w:ascii="Arial" w:hAnsi="Arial" w:hint="default"/>
      </w:rPr>
    </w:lvl>
    <w:lvl w:ilvl="5" w:tplc="9142115A" w:tentative="1">
      <w:start w:val="1"/>
      <w:numFmt w:val="bullet"/>
      <w:lvlText w:val="•"/>
      <w:lvlJc w:val="left"/>
      <w:pPr>
        <w:tabs>
          <w:tab w:val="num" w:pos="4320"/>
        </w:tabs>
        <w:ind w:left="4320" w:hanging="360"/>
      </w:pPr>
      <w:rPr>
        <w:rFonts w:ascii="Arial" w:hAnsi="Arial" w:hint="default"/>
      </w:rPr>
    </w:lvl>
    <w:lvl w:ilvl="6" w:tplc="10C6E98A" w:tentative="1">
      <w:start w:val="1"/>
      <w:numFmt w:val="bullet"/>
      <w:lvlText w:val="•"/>
      <w:lvlJc w:val="left"/>
      <w:pPr>
        <w:tabs>
          <w:tab w:val="num" w:pos="5040"/>
        </w:tabs>
        <w:ind w:left="5040" w:hanging="360"/>
      </w:pPr>
      <w:rPr>
        <w:rFonts w:ascii="Arial" w:hAnsi="Arial" w:hint="default"/>
      </w:rPr>
    </w:lvl>
    <w:lvl w:ilvl="7" w:tplc="D3FC25B6" w:tentative="1">
      <w:start w:val="1"/>
      <w:numFmt w:val="bullet"/>
      <w:lvlText w:val="•"/>
      <w:lvlJc w:val="left"/>
      <w:pPr>
        <w:tabs>
          <w:tab w:val="num" w:pos="5760"/>
        </w:tabs>
        <w:ind w:left="5760" w:hanging="360"/>
      </w:pPr>
      <w:rPr>
        <w:rFonts w:ascii="Arial" w:hAnsi="Arial" w:hint="default"/>
      </w:rPr>
    </w:lvl>
    <w:lvl w:ilvl="8" w:tplc="33F21D5E" w:tentative="1">
      <w:start w:val="1"/>
      <w:numFmt w:val="bullet"/>
      <w:lvlText w:val="•"/>
      <w:lvlJc w:val="left"/>
      <w:pPr>
        <w:tabs>
          <w:tab w:val="num" w:pos="6480"/>
        </w:tabs>
        <w:ind w:left="6480" w:hanging="360"/>
      </w:pPr>
      <w:rPr>
        <w:rFonts w:ascii="Arial" w:hAnsi="Arial" w:hint="default"/>
      </w:rPr>
    </w:lvl>
  </w:abstractNum>
  <w:num w:numId="1" w16cid:durableId="1520897152">
    <w:abstractNumId w:val="3"/>
  </w:num>
  <w:num w:numId="2" w16cid:durableId="2007393894">
    <w:abstractNumId w:val="1"/>
  </w:num>
  <w:num w:numId="3" w16cid:durableId="891765821">
    <w:abstractNumId w:val="0"/>
  </w:num>
  <w:num w:numId="4" w16cid:durableId="794369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1D0"/>
    <w:rsid w:val="000300C1"/>
    <w:rsid w:val="00035F27"/>
    <w:rsid w:val="00036EB5"/>
    <w:rsid w:val="00046514"/>
    <w:rsid w:val="00080AC3"/>
    <w:rsid w:val="000D6418"/>
    <w:rsid w:val="00195DA1"/>
    <w:rsid w:val="001F6573"/>
    <w:rsid w:val="00223A56"/>
    <w:rsid w:val="002A0E11"/>
    <w:rsid w:val="002B0935"/>
    <w:rsid w:val="002F16D1"/>
    <w:rsid w:val="0037644C"/>
    <w:rsid w:val="003E0E11"/>
    <w:rsid w:val="003F1525"/>
    <w:rsid w:val="004108E6"/>
    <w:rsid w:val="004A154B"/>
    <w:rsid w:val="004D7E45"/>
    <w:rsid w:val="005A086D"/>
    <w:rsid w:val="00645F59"/>
    <w:rsid w:val="00653C97"/>
    <w:rsid w:val="006B5FD7"/>
    <w:rsid w:val="006D4066"/>
    <w:rsid w:val="006E27B4"/>
    <w:rsid w:val="008512C0"/>
    <w:rsid w:val="00861558"/>
    <w:rsid w:val="008C3A26"/>
    <w:rsid w:val="008D2952"/>
    <w:rsid w:val="00910ED7"/>
    <w:rsid w:val="009171D0"/>
    <w:rsid w:val="0092644D"/>
    <w:rsid w:val="00963C46"/>
    <w:rsid w:val="00974E8B"/>
    <w:rsid w:val="009C324A"/>
    <w:rsid w:val="009E4AE4"/>
    <w:rsid w:val="00A05A5E"/>
    <w:rsid w:val="00A371DB"/>
    <w:rsid w:val="00A95632"/>
    <w:rsid w:val="00AA4803"/>
    <w:rsid w:val="00AC7D01"/>
    <w:rsid w:val="00AD456F"/>
    <w:rsid w:val="00AE19AB"/>
    <w:rsid w:val="00AE4814"/>
    <w:rsid w:val="00B31421"/>
    <w:rsid w:val="00B77879"/>
    <w:rsid w:val="00C32603"/>
    <w:rsid w:val="00C5749C"/>
    <w:rsid w:val="00C8095A"/>
    <w:rsid w:val="00CB06D6"/>
    <w:rsid w:val="00DC6B85"/>
    <w:rsid w:val="00EA07B0"/>
    <w:rsid w:val="00EC24D6"/>
    <w:rsid w:val="00F9227F"/>
    <w:rsid w:val="18E5F4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9575D"/>
  <w15:docId w15:val="{C56AF2C8-E632-D44C-8A2B-B08422C36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sz w:val="24"/>
      <w:szCs w:val="24"/>
    </w:rPr>
  </w:style>
  <w:style w:type="paragraph" w:styleId="Heading2">
    <w:name w:val="heading 2"/>
    <w:basedOn w:val="Normal"/>
    <w:uiPriority w:val="9"/>
    <w:unhideWhenUsed/>
    <w:qFormat/>
    <w:pPr>
      <w:spacing w:before="35"/>
      <w:ind w:left="100"/>
      <w:outlineLvl w:val="1"/>
    </w:pPr>
  </w:style>
  <w:style w:type="paragraph" w:styleId="Heading3">
    <w:name w:val="heading 3"/>
    <w:basedOn w:val="Normal"/>
    <w:uiPriority w:val="9"/>
    <w:unhideWhenUsed/>
    <w:qFormat/>
    <w:pPr>
      <w:ind w:left="10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9"/>
      <w:ind w:left="100"/>
    </w:pPr>
    <w:rPr>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05A5E"/>
    <w:pPr>
      <w:tabs>
        <w:tab w:val="center" w:pos="4680"/>
        <w:tab w:val="right" w:pos="9360"/>
      </w:tabs>
    </w:pPr>
  </w:style>
  <w:style w:type="character" w:customStyle="1" w:styleId="HeaderChar">
    <w:name w:val="Header Char"/>
    <w:basedOn w:val="DefaultParagraphFont"/>
    <w:link w:val="Header"/>
    <w:uiPriority w:val="99"/>
    <w:rsid w:val="00A05A5E"/>
    <w:rPr>
      <w:rFonts w:ascii="Times New Roman" w:eastAsia="Times New Roman" w:hAnsi="Times New Roman" w:cs="Times New Roman"/>
    </w:rPr>
  </w:style>
  <w:style w:type="paragraph" w:styleId="Footer">
    <w:name w:val="footer"/>
    <w:basedOn w:val="Normal"/>
    <w:link w:val="FooterChar"/>
    <w:uiPriority w:val="99"/>
    <w:unhideWhenUsed/>
    <w:rsid w:val="00A05A5E"/>
    <w:pPr>
      <w:tabs>
        <w:tab w:val="center" w:pos="4680"/>
        <w:tab w:val="right" w:pos="9360"/>
      </w:tabs>
    </w:pPr>
  </w:style>
  <w:style w:type="character" w:customStyle="1" w:styleId="FooterChar">
    <w:name w:val="Footer Char"/>
    <w:basedOn w:val="DefaultParagraphFont"/>
    <w:link w:val="Footer"/>
    <w:uiPriority w:val="99"/>
    <w:rsid w:val="00A05A5E"/>
    <w:rPr>
      <w:rFonts w:ascii="Times New Roman" w:eastAsia="Times New Roman" w:hAnsi="Times New Roman" w:cs="Times New Roman"/>
    </w:rPr>
  </w:style>
  <w:style w:type="paragraph" w:styleId="NormalWeb">
    <w:name w:val="Normal (Web)"/>
    <w:basedOn w:val="Normal"/>
    <w:uiPriority w:val="99"/>
    <w:semiHidden/>
    <w:unhideWhenUsed/>
    <w:rsid w:val="00195DA1"/>
    <w:rPr>
      <w:sz w:val="24"/>
      <w:szCs w:val="24"/>
    </w:rPr>
  </w:style>
  <w:style w:type="paragraph" w:styleId="NoSpacing">
    <w:name w:val="No Spacing"/>
    <w:uiPriority w:val="1"/>
    <w:qFormat/>
    <w:rsid w:val="008D2952"/>
    <w:rPr>
      <w:rFonts w:ascii="Times New Roman" w:eastAsia="Times New Roman" w:hAnsi="Times New Roman" w:cs="Times New Roman"/>
    </w:rPr>
  </w:style>
  <w:style w:type="paragraph" w:customStyle="1" w:styleId="Default">
    <w:name w:val="Default"/>
    <w:rsid w:val="009E4AE4"/>
    <w:pPr>
      <w:widowControl/>
      <w:pBdr>
        <w:top w:val="nil"/>
        <w:left w:val="nil"/>
        <w:bottom w:val="nil"/>
        <w:right w:val="nil"/>
        <w:between w:val="nil"/>
        <w:bar w:val="nil"/>
      </w:pBdr>
      <w:autoSpaceDE/>
      <w:autoSpaceDN/>
      <w:spacing w:before="16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7646">
      <w:bodyDiv w:val="1"/>
      <w:marLeft w:val="0"/>
      <w:marRight w:val="0"/>
      <w:marTop w:val="0"/>
      <w:marBottom w:val="0"/>
      <w:divBdr>
        <w:top w:val="none" w:sz="0" w:space="0" w:color="auto"/>
        <w:left w:val="none" w:sz="0" w:space="0" w:color="auto"/>
        <w:bottom w:val="none" w:sz="0" w:space="0" w:color="auto"/>
        <w:right w:val="none" w:sz="0" w:space="0" w:color="auto"/>
      </w:divBdr>
    </w:div>
    <w:div w:id="705328027">
      <w:bodyDiv w:val="1"/>
      <w:marLeft w:val="0"/>
      <w:marRight w:val="0"/>
      <w:marTop w:val="0"/>
      <w:marBottom w:val="0"/>
      <w:divBdr>
        <w:top w:val="none" w:sz="0" w:space="0" w:color="auto"/>
        <w:left w:val="none" w:sz="0" w:space="0" w:color="auto"/>
        <w:bottom w:val="none" w:sz="0" w:space="0" w:color="auto"/>
        <w:right w:val="none" w:sz="0" w:space="0" w:color="auto"/>
      </w:divBdr>
      <w:divsChild>
        <w:div w:id="1124615683">
          <w:marLeft w:val="274"/>
          <w:marRight w:val="0"/>
          <w:marTop w:val="91"/>
          <w:marBottom w:val="0"/>
          <w:divBdr>
            <w:top w:val="none" w:sz="0" w:space="0" w:color="auto"/>
            <w:left w:val="none" w:sz="0" w:space="0" w:color="auto"/>
            <w:bottom w:val="none" w:sz="0" w:space="0" w:color="auto"/>
            <w:right w:val="none" w:sz="0" w:space="0" w:color="auto"/>
          </w:divBdr>
        </w:div>
        <w:div w:id="789276359">
          <w:marLeft w:val="274"/>
          <w:marRight w:val="0"/>
          <w:marTop w:val="91"/>
          <w:marBottom w:val="0"/>
          <w:divBdr>
            <w:top w:val="none" w:sz="0" w:space="0" w:color="auto"/>
            <w:left w:val="none" w:sz="0" w:space="0" w:color="auto"/>
            <w:bottom w:val="none" w:sz="0" w:space="0" w:color="auto"/>
            <w:right w:val="none" w:sz="0" w:space="0" w:color="auto"/>
          </w:divBdr>
        </w:div>
        <w:div w:id="11422054">
          <w:marLeft w:val="274"/>
          <w:marRight w:val="0"/>
          <w:marTop w:val="91"/>
          <w:marBottom w:val="0"/>
          <w:divBdr>
            <w:top w:val="none" w:sz="0" w:space="0" w:color="auto"/>
            <w:left w:val="none" w:sz="0" w:space="0" w:color="auto"/>
            <w:bottom w:val="none" w:sz="0" w:space="0" w:color="auto"/>
            <w:right w:val="none" w:sz="0" w:space="0" w:color="auto"/>
          </w:divBdr>
        </w:div>
        <w:div w:id="1563131036">
          <w:marLeft w:val="274"/>
          <w:marRight w:val="0"/>
          <w:marTop w:val="91"/>
          <w:marBottom w:val="0"/>
          <w:divBdr>
            <w:top w:val="none" w:sz="0" w:space="0" w:color="auto"/>
            <w:left w:val="none" w:sz="0" w:space="0" w:color="auto"/>
            <w:bottom w:val="none" w:sz="0" w:space="0" w:color="auto"/>
            <w:right w:val="none" w:sz="0" w:space="0" w:color="auto"/>
          </w:divBdr>
        </w:div>
      </w:divsChild>
    </w:div>
    <w:div w:id="877282782">
      <w:bodyDiv w:val="1"/>
      <w:marLeft w:val="0"/>
      <w:marRight w:val="0"/>
      <w:marTop w:val="0"/>
      <w:marBottom w:val="0"/>
      <w:divBdr>
        <w:top w:val="none" w:sz="0" w:space="0" w:color="auto"/>
        <w:left w:val="none" w:sz="0" w:space="0" w:color="auto"/>
        <w:bottom w:val="none" w:sz="0" w:space="0" w:color="auto"/>
        <w:right w:val="none" w:sz="0" w:space="0" w:color="auto"/>
      </w:divBdr>
      <w:divsChild>
        <w:div w:id="745806087">
          <w:marLeft w:val="274"/>
          <w:marRight w:val="0"/>
          <w:marTop w:val="120"/>
          <w:marBottom w:val="120"/>
          <w:divBdr>
            <w:top w:val="none" w:sz="0" w:space="0" w:color="auto"/>
            <w:left w:val="none" w:sz="0" w:space="0" w:color="auto"/>
            <w:bottom w:val="none" w:sz="0" w:space="0" w:color="auto"/>
            <w:right w:val="none" w:sz="0" w:space="0" w:color="auto"/>
          </w:divBdr>
        </w:div>
      </w:divsChild>
    </w:div>
    <w:div w:id="1484010064">
      <w:bodyDiv w:val="1"/>
      <w:marLeft w:val="0"/>
      <w:marRight w:val="0"/>
      <w:marTop w:val="0"/>
      <w:marBottom w:val="0"/>
      <w:divBdr>
        <w:top w:val="none" w:sz="0" w:space="0" w:color="auto"/>
        <w:left w:val="none" w:sz="0" w:space="0" w:color="auto"/>
        <w:bottom w:val="none" w:sz="0" w:space="0" w:color="auto"/>
        <w:right w:val="none" w:sz="0" w:space="0" w:color="auto"/>
      </w:divBdr>
    </w:div>
    <w:div w:id="1549604954">
      <w:bodyDiv w:val="1"/>
      <w:marLeft w:val="0"/>
      <w:marRight w:val="0"/>
      <w:marTop w:val="0"/>
      <w:marBottom w:val="0"/>
      <w:divBdr>
        <w:top w:val="none" w:sz="0" w:space="0" w:color="auto"/>
        <w:left w:val="none" w:sz="0" w:space="0" w:color="auto"/>
        <w:bottom w:val="none" w:sz="0" w:space="0" w:color="auto"/>
        <w:right w:val="none" w:sz="0" w:space="0" w:color="auto"/>
      </w:divBdr>
    </w:div>
    <w:div w:id="1660380899">
      <w:bodyDiv w:val="1"/>
      <w:marLeft w:val="0"/>
      <w:marRight w:val="0"/>
      <w:marTop w:val="0"/>
      <w:marBottom w:val="0"/>
      <w:divBdr>
        <w:top w:val="none" w:sz="0" w:space="0" w:color="auto"/>
        <w:left w:val="none" w:sz="0" w:space="0" w:color="auto"/>
        <w:bottom w:val="none" w:sz="0" w:space="0" w:color="auto"/>
        <w:right w:val="none" w:sz="0" w:space="0" w:color="auto"/>
      </w:divBdr>
      <w:divsChild>
        <w:div w:id="1480801456">
          <w:marLeft w:val="274"/>
          <w:marRight w:val="0"/>
          <w:marTop w:val="82"/>
          <w:marBottom w:val="0"/>
          <w:divBdr>
            <w:top w:val="none" w:sz="0" w:space="0" w:color="auto"/>
            <w:left w:val="none" w:sz="0" w:space="0" w:color="auto"/>
            <w:bottom w:val="none" w:sz="0" w:space="0" w:color="auto"/>
            <w:right w:val="none" w:sz="0" w:space="0" w:color="auto"/>
          </w:divBdr>
        </w:div>
        <w:div w:id="598104169">
          <w:marLeft w:val="274"/>
          <w:marRight w:val="0"/>
          <w:marTop w:val="82"/>
          <w:marBottom w:val="0"/>
          <w:divBdr>
            <w:top w:val="none" w:sz="0" w:space="0" w:color="auto"/>
            <w:left w:val="none" w:sz="0" w:space="0" w:color="auto"/>
            <w:bottom w:val="none" w:sz="0" w:space="0" w:color="auto"/>
            <w:right w:val="none" w:sz="0" w:space="0" w:color="auto"/>
          </w:divBdr>
        </w:div>
      </w:divsChild>
    </w:div>
    <w:div w:id="1677926146">
      <w:bodyDiv w:val="1"/>
      <w:marLeft w:val="0"/>
      <w:marRight w:val="0"/>
      <w:marTop w:val="0"/>
      <w:marBottom w:val="0"/>
      <w:divBdr>
        <w:top w:val="none" w:sz="0" w:space="0" w:color="auto"/>
        <w:left w:val="none" w:sz="0" w:space="0" w:color="auto"/>
        <w:bottom w:val="none" w:sz="0" w:space="0" w:color="auto"/>
        <w:right w:val="none" w:sz="0" w:space="0" w:color="auto"/>
      </w:divBdr>
    </w:div>
    <w:div w:id="1937473425">
      <w:bodyDiv w:val="1"/>
      <w:marLeft w:val="0"/>
      <w:marRight w:val="0"/>
      <w:marTop w:val="0"/>
      <w:marBottom w:val="0"/>
      <w:divBdr>
        <w:top w:val="none" w:sz="0" w:space="0" w:color="auto"/>
        <w:left w:val="none" w:sz="0" w:space="0" w:color="auto"/>
        <w:bottom w:val="none" w:sz="0" w:space="0" w:color="auto"/>
        <w:right w:val="none" w:sz="0" w:space="0" w:color="auto"/>
      </w:divBdr>
      <w:divsChild>
        <w:div w:id="615020365">
          <w:marLeft w:val="274"/>
          <w:marRight w:val="0"/>
          <w:marTop w:val="91"/>
          <w:marBottom w:val="0"/>
          <w:divBdr>
            <w:top w:val="none" w:sz="0" w:space="0" w:color="auto"/>
            <w:left w:val="none" w:sz="0" w:space="0" w:color="auto"/>
            <w:bottom w:val="none" w:sz="0" w:space="0" w:color="auto"/>
            <w:right w:val="none" w:sz="0" w:space="0" w:color="auto"/>
          </w:divBdr>
        </w:div>
        <w:div w:id="148834613">
          <w:marLeft w:val="274"/>
          <w:marRight w:val="0"/>
          <w:marTop w:val="91"/>
          <w:marBottom w:val="0"/>
          <w:divBdr>
            <w:top w:val="none" w:sz="0" w:space="0" w:color="auto"/>
            <w:left w:val="none" w:sz="0" w:space="0" w:color="auto"/>
            <w:bottom w:val="none" w:sz="0" w:space="0" w:color="auto"/>
            <w:right w:val="none" w:sz="0" w:space="0" w:color="auto"/>
          </w:divBdr>
        </w:div>
        <w:div w:id="652681615">
          <w:marLeft w:val="274"/>
          <w:marRight w:val="0"/>
          <w:marTop w:val="91"/>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1b86c14-7a6f-495c-8ad3-202986669410}" enabled="1" method="Standard" siteId="{2596038f-3ea4-4f0c-aed1-066eb6544c3b}" contentBits="0" removed="0"/>
</clbl:labelList>
</file>

<file path=docProps/app.xml><?xml version="1.0" encoding="utf-8"?>
<Properties xmlns="http://schemas.openxmlformats.org/officeDocument/2006/extended-properties" xmlns:vt="http://schemas.openxmlformats.org/officeDocument/2006/docPropsVTypes">
  <Template>Normal</Template>
  <TotalTime>39</TotalTime>
  <Pages>2</Pages>
  <Words>582</Words>
  <Characters>3749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Timothy B Doyle</dc:creator>
  <cp:lastModifiedBy>Menon, Jeanne</cp:lastModifiedBy>
  <cp:revision>6</cp:revision>
  <dcterms:created xsi:type="dcterms:W3CDTF">2026-03-02T16:23:00Z</dcterms:created>
  <dcterms:modified xsi:type="dcterms:W3CDTF">2026-03-19T15:16:00Z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2023-03-01T00:00:00Z</vt:filetime>
  </property>
  <property fmtid="{D5CDD505-2E9C-101B-9397-08002B2CF9AE}" pid="3" name="Creator">
    <vt:lpwstr>Acrobat PDFMaker 21 for Word</vt:lpwstr>
  </property>
  <property fmtid="{D5CDD505-2E9C-101B-9397-08002B2CF9AE}" pid="4" name="LastSaved">
    <vt:filetime>2023-04-06T00:00:00Z</vt:filetime>
  </property>
  <property fmtid="{D5CDD505-2E9C-101B-9397-08002B2CF9AE}" pid="5" name="MSIP_Label_b1b86c14-7a6f-495c-8ad3-202986669410_Enabled">
    <vt:lpwstr>true</vt:lpwstr>
  </property>
  <property fmtid="{D5CDD505-2E9C-101B-9397-08002B2CF9AE}" pid="6" name="MSIP_Label_b1b86c14-7a6f-495c-8ad3-202986669410_SetDate">
    <vt:lpwstr>2025-02-18T22:58:15Z</vt:lpwstr>
  </property>
  <property fmtid="{D5CDD505-2E9C-101B-9397-08002B2CF9AE}" pid="7" name="MSIP_Label_b1b86c14-7a6f-495c-8ad3-202986669410_Method">
    <vt:lpwstr>Standard</vt:lpwstr>
  </property>
  <property fmtid="{D5CDD505-2E9C-101B-9397-08002B2CF9AE}" pid="8" name="MSIP_Label_b1b86c14-7a6f-495c-8ad3-202986669410_Name">
    <vt:lpwstr>Internal</vt:lpwstr>
  </property>
  <property fmtid="{D5CDD505-2E9C-101B-9397-08002B2CF9AE}" pid="9" name="MSIP_Label_b1b86c14-7a6f-495c-8ad3-202986669410_SiteId">
    <vt:lpwstr>2596038f-3ea4-4f0c-aed1-066eb6544c3b</vt:lpwstr>
  </property>
  <property fmtid="{D5CDD505-2E9C-101B-9397-08002B2CF9AE}" pid="10" name="MSIP_Label_b1b86c14-7a6f-495c-8ad3-202986669410_ActionId">
    <vt:lpwstr>521eceee-2554-4cf0-bf8c-29a940bb0a28</vt:lpwstr>
  </property>
  <property fmtid="{D5CDD505-2E9C-101B-9397-08002B2CF9AE}" pid="11" name="MSIP_Label_b1b86c14-7a6f-495c-8ad3-202986669410_ContentBits">
    <vt:lpwstr>0</vt:lpwstr>
  </property>
  <property fmtid="{D5CDD505-2E9C-101B-9397-08002B2CF9AE}" pid="12" name="MSIP_Label_b1b86c14-7a6f-495c-8ad3-202986669410_Tag">
    <vt:lpwstr>10, 3, 0, 2</vt:lpwstr>
  </property>
</Properties>
</file>